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Индикације за примену лекова у трудноћи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Гестацијски часовник и тератогеност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Одложени токсични ефекти интраутерине експозиције лековима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Фармакокинетика антимикробник лекова у трудноћи- интра/екстраваскуларни волумен, гломеруларна филтрација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Фармакокинетика антимикробник лекова у трудноћи- интра/екстраваскуларни волумен-хепатични метаболизам, мотилитет желуца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Фармакокинетика антимикробник лекова у трудноћи- интра/екстраваскуларни волумен-киселост желудачног садржаја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Фармакокинетика антимикробник лекова у трудноћи- интра/екстраваскуларни волумен-киселост желудачног садржаја, фетоплацентарна баријера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Категорија ризика за примену лекова у трудноћи- цефалоспорини, еритромицин, метронидазол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Категорија ризика за примену лекова у трудноћи- амикацин, карбапенеми,хинолони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Категорија ризика за примену лекова у трудноћи- нитрофурантоин, азитромицин, триметоприм, ванкомицин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Категорија ризика за примену лекова у трудноћи- антипротозоици, анитхелеминтици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Категорија ризика за примену лекова у трудноћи- анитвирусни лекови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Антибиотици чија је употреба у трудноћи ограничена или контраиндикована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Лактација- пролазак лекова у млеко и индекс дистрибуције лека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Препоруке за безбедност новорођенчета/одојечета током дојења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Излучивање лекова млеком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720" w:hanging="63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Лекови при чијој употреби треба избегавати лактацију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Новорођенче ниског гестацијског узраста- есктрацелуларни волумен, дистрибуција хидросолубилних лекова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 xml:space="preserve">Новорођенче ниског гестацијског узраста- дистрибуција липосолубилних лекова, метаболизам и елиминација 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Мониторинг новорођенчета током терапије мајке која доји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 xml:space="preserve"> Специфичност фармамкокинетике при интравенској примени лекова код новорођенчета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Специфичност фармамкокинетике при интрамускуларној примени лекова код новорођенчета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Специфичност фармамкокинетике при оралној примени лекова код новорођенчета</w:t>
      </w:r>
    </w:p>
    <w:p w:rsidR="00B525EC" w:rsidRPr="00034E76" w:rsidRDefault="00B525EC" w:rsidP="00B525EC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450"/>
        <w:rPr>
          <w:rFonts w:ascii="Times New Roman" w:hAnsi="Times New Roman"/>
        </w:rPr>
      </w:pPr>
      <w:r w:rsidRPr="00034E76">
        <w:rPr>
          <w:rFonts w:ascii="Times New Roman" w:hAnsi="Times New Roman"/>
        </w:rPr>
        <w:t>Профилактичка употреба антибиотика у трудноћи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5EC" w:rsidRDefault="00B525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5EC" w:rsidRDefault="00B525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5EC" w:rsidRDefault="00B525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5EC" w:rsidRDefault="00B525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F50AC1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Клиничка фармација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Питања за активност студената у настави- </w:t>
    </w:r>
    <w:r w:rsidR="00B525EC"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t>. недеља наставе</w:t>
    </w:r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5EC" w:rsidRDefault="00B525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23654"/>
    <w:multiLevelType w:val="hybridMultilevel"/>
    <w:tmpl w:val="C5E0C8E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3229DB"/>
    <w:rsid w:val="00376046"/>
    <w:rsid w:val="003B5785"/>
    <w:rsid w:val="003C67C1"/>
    <w:rsid w:val="004369AD"/>
    <w:rsid w:val="00484F4B"/>
    <w:rsid w:val="004A63B7"/>
    <w:rsid w:val="004B07CB"/>
    <w:rsid w:val="00536AE3"/>
    <w:rsid w:val="006951E6"/>
    <w:rsid w:val="006C269F"/>
    <w:rsid w:val="006E55A1"/>
    <w:rsid w:val="00704AE7"/>
    <w:rsid w:val="007556A8"/>
    <w:rsid w:val="00791DD3"/>
    <w:rsid w:val="007E1303"/>
    <w:rsid w:val="008677DC"/>
    <w:rsid w:val="008D6B8F"/>
    <w:rsid w:val="00955093"/>
    <w:rsid w:val="0096043A"/>
    <w:rsid w:val="00970120"/>
    <w:rsid w:val="00A5647E"/>
    <w:rsid w:val="00B525EC"/>
    <w:rsid w:val="00B53F4A"/>
    <w:rsid w:val="00B74880"/>
    <w:rsid w:val="00BE3E1C"/>
    <w:rsid w:val="00CA38D7"/>
    <w:rsid w:val="00D430D9"/>
    <w:rsid w:val="00D45D1A"/>
    <w:rsid w:val="00D725BB"/>
    <w:rsid w:val="00F50AC1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2017-08-18T09:01:00Z</dcterms:created>
  <dcterms:modified xsi:type="dcterms:W3CDTF">2017-09-05T19:49:00Z</dcterms:modified>
</cp:coreProperties>
</file>